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220" w:rsidRDefault="005A5220" w:rsidP="005A522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63500</wp:posOffset>
            </wp:positionH>
            <wp:positionV relativeFrom="paragraph">
              <wp:posOffset>209550</wp:posOffset>
            </wp:positionV>
            <wp:extent cx="5760085" cy="90106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220" w:rsidRDefault="005A5220" w:rsidP="005A522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</w:pPr>
    </w:p>
    <w:p w:rsidR="005A5220" w:rsidRDefault="005A5220" w:rsidP="005A5220">
      <w:pPr>
        <w:spacing w:after="108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Liberation Serif" w:eastAsia="Times New Roman" w:hAnsi="Liberation Serif" w:cs="Times New Roman"/>
          <w:b/>
          <w:sz w:val="24"/>
          <w:szCs w:val="24"/>
        </w:rPr>
        <w:t>Prishtinë</w:t>
      </w:r>
      <w:proofErr w:type="spellEnd"/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, </w:t>
      </w:r>
      <w:proofErr w:type="spellStart"/>
      <w:r>
        <w:rPr>
          <w:rFonts w:ascii="Liberation Serif" w:eastAsia="Times New Roman" w:hAnsi="Liberation Serif" w:cs="Times New Roman"/>
          <w:b/>
          <w:sz w:val="24"/>
          <w:szCs w:val="24"/>
        </w:rPr>
        <w:t>më</w:t>
      </w:r>
      <w:proofErr w:type="spellEnd"/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>17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.10.2025                           </w:t>
      </w:r>
    </w:p>
    <w:p w:rsidR="005A5220" w:rsidRDefault="005A5220" w:rsidP="005A5220">
      <w:pPr>
        <w:spacing w:after="0" w:line="240" w:lineRule="auto"/>
        <w:jc w:val="both"/>
        <w:rPr>
          <w:rFonts w:ascii="Liberation Serif" w:eastAsia="Times New Roman" w:hAnsi="Liberation Serif" w:cs="Times New Roman"/>
          <w:iCs/>
          <w:sz w:val="24"/>
          <w:szCs w:val="24"/>
          <w:lang w:val="sq-AL"/>
        </w:rPr>
      </w:pPr>
      <w:r>
        <w:rPr>
          <w:rFonts w:ascii="Liberation Serif" w:eastAsia="Times New Roman" w:hAnsi="Liberation Serif" w:cs="Times New Roman"/>
          <w:iCs/>
          <w:sz w:val="24"/>
          <w:szCs w:val="24"/>
          <w:lang w:val="sq-AL"/>
        </w:rPr>
        <w:t>Autoriteti i Konkurrencës i Republikës së Kosovës, mbështetur në nenet 11, 13, 17. të Ligjit Nr. 08/L-056 për Mbrojtjen e Konkurrencës, të publikuar në Gazetën Zyrtare, datë 14 Qershor 2022, Udhëzimit Administrativ 02/2023 Për Mënyrën e Paraqitjes së Kërkesës dhe Kriteret për Konstatimin e Përqendrimit të Ndërmarrjeve, shpallë këtë:</w:t>
      </w:r>
    </w:p>
    <w:p w:rsidR="005A5220" w:rsidRDefault="005A5220" w:rsidP="005A5220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A5220" w:rsidRDefault="005A5220" w:rsidP="005A522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NJOFTIM I PËRQENDRIMIT</w:t>
      </w:r>
    </w:p>
    <w:p w:rsidR="005A5220" w:rsidRDefault="005A5220" w:rsidP="005A5220">
      <w:pPr>
        <w:spacing w:after="0" w:line="240" w:lineRule="auto"/>
        <w:jc w:val="both"/>
        <w:rPr>
          <w:lang w:val="sq-AL"/>
        </w:rPr>
      </w:pPr>
    </w:p>
    <w:p w:rsidR="005A5220" w:rsidRDefault="005A5220" w:rsidP="005A522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val="sq-AL"/>
        </w:rPr>
      </w:pPr>
      <w:r>
        <w:rPr>
          <w:rFonts w:ascii="Liberation Serif" w:eastAsia="Times New Roman" w:hAnsi="Liberation Serif" w:cs="Times New Roman"/>
          <w:sz w:val="24"/>
          <w:szCs w:val="24"/>
          <w:lang w:val="sq-AL"/>
        </w:rPr>
        <w:t xml:space="preserve">Autoriteti i Konkurrencës i Republikës së Kosovës me datë: 03.10.2025, me Nr.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  <w:lang w:val="sq-AL"/>
        </w:rPr>
        <w:t>Prot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  <w:lang w:val="sq-AL"/>
        </w:rPr>
        <w:t xml:space="preserve">. 464/25-01/H ka pranuar kërkesën për Njoftimin e Përqendrimit, </w:t>
      </w:r>
      <w:r>
        <w:rPr>
          <w:rFonts w:ascii="Liberation Serif" w:hAnsi="Liberation Serif" w:cs="Liberation Serif"/>
          <w:sz w:val="24"/>
          <w:szCs w:val="24"/>
          <w:lang w:val="sq-AL"/>
        </w:rPr>
        <w:t xml:space="preserve">lidhur me blerje të tërthortë nga fondet e menaxhuara dhe/ose të këshilluara nga </w:t>
      </w:r>
      <w:proofErr w:type="spellStart"/>
      <w:r>
        <w:rPr>
          <w:rFonts w:ascii="Liberation Serif" w:hAnsi="Liberation Serif" w:cs="Liberation Serif"/>
          <w:sz w:val="24"/>
          <w:szCs w:val="24"/>
          <w:lang w:val="sq-AL"/>
        </w:rPr>
        <w:t>CapVest</w:t>
      </w:r>
      <w:proofErr w:type="spellEnd"/>
      <w:r>
        <w:rPr>
          <w:rFonts w:ascii="Liberation Serif" w:hAnsi="Liberation Serif" w:cs="Liberation Serif"/>
          <w:sz w:val="24"/>
          <w:szCs w:val="24"/>
          <w:lang w:val="sq-AL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sq-AL"/>
        </w:rPr>
        <w:t>Partners</w:t>
      </w:r>
      <w:proofErr w:type="spellEnd"/>
      <w:r>
        <w:rPr>
          <w:rFonts w:ascii="Liberation Serif" w:hAnsi="Liberation Serif" w:cs="Liberation Serif"/>
          <w:sz w:val="24"/>
          <w:szCs w:val="24"/>
          <w:lang w:val="sq-AL"/>
        </w:rPr>
        <w:t xml:space="preserve"> L.L.P., ("</w:t>
      </w:r>
      <w:proofErr w:type="spellStart"/>
      <w:r>
        <w:rPr>
          <w:rFonts w:ascii="Liberation Serif" w:hAnsi="Liberation Serif" w:cs="Liberation Serif"/>
          <w:bCs/>
          <w:sz w:val="24"/>
          <w:szCs w:val="24"/>
          <w:lang w:val="sq-AL"/>
        </w:rPr>
        <w:t>CapVest</w:t>
      </w:r>
      <w:proofErr w:type="spellEnd"/>
      <w:r>
        <w:rPr>
          <w:rFonts w:ascii="Liberation Serif" w:hAnsi="Liberation Serif" w:cs="Liberation Serif"/>
          <w:sz w:val="24"/>
          <w:szCs w:val="24"/>
          <w:lang w:val="sq-AL"/>
        </w:rPr>
        <w:t xml:space="preserve">"), përmes një mjeti investimi, </w:t>
      </w:r>
      <w:proofErr w:type="spellStart"/>
      <w:r>
        <w:rPr>
          <w:rFonts w:ascii="Liberation Serif" w:hAnsi="Liberation Serif" w:cs="Liberation Serif"/>
          <w:sz w:val="24"/>
          <w:szCs w:val="24"/>
          <w:lang w:val="sq-AL"/>
        </w:rPr>
        <w:t>Saxophone</w:t>
      </w:r>
      <w:proofErr w:type="spellEnd"/>
      <w:r>
        <w:rPr>
          <w:rFonts w:ascii="Liberation Serif" w:hAnsi="Liberation Serif" w:cs="Liberation Serif"/>
          <w:sz w:val="24"/>
          <w:szCs w:val="24"/>
          <w:lang w:val="sq-AL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sq-AL"/>
        </w:rPr>
        <w:t>Germany</w:t>
      </w:r>
      <w:proofErr w:type="spellEnd"/>
      <w:r>
        <w:rPr>
          <w:rFonts w:ascii="Liberation Serif" w:hAnsi="Liberation Serif" w:cs="Liberation Serif"/>
          <w:sz w:val="24"/>
          <w:szCs w:val="24"/>
          <w:lang w:val="sq-AL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sq-AL"/>
        </w:rPr>
        <w:t>BidCo</w:t>
      </w:r>
      <w:proofErr w:type="spellEnd"/>
      <w:r>
        <w:rPr>
          <w:rFonts w:ascii="Liberation Serif" w:hAnsi="Liberation Serif" w:cs="Liberation Serif"/>
          <w:sz w:val="24"/>
          <w:szCs w:val="24"/>
          <w:lang w:val="sq-AL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sq-AL"/>
        </w:rPr>
        <w:t>GmbH</w:t>
      </w:r>
      <w:proofErr w:type="spellEnd"/>
      <w:r>
        <w:rPr>
          <w:rFonts w:ascii="Liberation Serif" w:hAnsi="Liberation Serif" w:cs="Liberation Serif"/>
          <w:sz w:val="24"/>
          <w:szCs w:val="24"/>
          <w:lang w:val="sq-AL"/>
        </w:rPr>
        <w:t xml:space="preserve"> ("</w:t>
      </w:r>
      <w:r>
        <w:rPr>
          <w:rFonts w:ascii="Liberation Serif" w:hAnsi="Liberation Serif" w:cs="Liberation Serif"/>
          <w:bCs/>
          <w:sz w:val="24"/>
          <w:szCs w:val="24"/>
          <w:lang w:val="sq-AL"/>
        </w:rPr>
        <w:t>Blerësi i Drejtpërdrejtë</w:t>
      </w:r>
      <w:r>
        <w:rPr>
          <w:rFonts w:ascii="Liberation Serif" w:hAnsi="Liberation Serif" w:cs="Liberation Serif"/>
          <w:sz w:val="24"/>
          <w:szCs w:val="24"/>
          <w:lang w:val="sq-AL"/>
        </w:rPr>
        <w:t>" ose "</w:t>
      </w:r>
      <w:proofErr w:type="spellStart"/>
      <w:r>
        <w:rPr>
          <w:rFonts w:ascii="Liberation Serif" w:hAnsi="Liberation Serif" w:cs="Liberation Serif"/>
          <w:bCs/>
          <w:sz w:val="24"/>
          <w:szCs w:val="24"/>
          <w:lang w:val="sq-AL"/>
        </w:rPr>
        <w:t>Saxophone</w:t>
      </w:r>
      <w:proofErr w:type="spellEnd"/>
      <w:r>
        <w:rPr>
          <w:rFonts w:ascii="Liberation Serif" w:hAnsi="Liberation Serif" w:cs="Liberation Serif"/>
          <w:bCs/>
          <w:sz w:val="24"/>
          <w:szCs w:val="24"/>
          <w:lang w:val="sq-AL"/>
        </w:rPr>
        <w:t xml:space="preserve"> </w:t>
      </w:r>
      <w:proofErr w:type="spellStart"/>
      <w:r>
        <w:rPr>
          <w:rFonts w:ascii="Liberation Serif" w:hAnsi="Liberation Serif" w:cs="Liberation Serif"/>
          <w:bCs/>
          <w:sz w:val="24"/>
          <w:szCs w:val="24"/>
          <w:lang w:val="sq-AL"/>
        </w:rPr>
        <w:t>BidCo</w:t>
      </w:r>
      <w:proofErr w:type="spellEnd"/>
      <w:r>
        <w:rPr>
          <w:rFonts w:ascii="Liberation Serif" w:hAnsi="Liberation Serif" w:cs="Liberation Serif"/>
          <w:sz w:val="24"/>
          <w:szCs w:val="24"/>
          <w:lang w:val="sq-AL"/>
        </w:rPr>
        <w:t xml:space="preserve">"), të kontrollit të vetëm mbi </w:t>
      </w:r>
      <w:proofErr w:type="spellStart"/>
      <w:r>
        <w:rPr>
          <w:rFonts w:ascii="Liberation Serif" w:hAnsi="Liberation Serif" w:cs="Liberation Serif"/>
          <w:sz w:val="24"/>
          <w:szCs w:val="24"/>
          <w:lang w:val="sq-AL"/>
        </w:rPr>
        <w:t>Nidda</w:t>
      </w:r>
      <w:proofErr w:type="spellEnd"/>
      <w:r>
        <w:rPr>
          <w:rFonts w:ascii="Liberation Serif" w:hAnsi="Liberation Serif" w:cs="Liberation Serif"/>
          <w:sz w:val="24"/>
          <w:szCs w:val="24"/>
          <w:lang w:val="sq-AL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sq-AL"/>
        </w:rPr>
        <w:t>German</w:t>
      </w:r>
      <w:proofErr w:type="spellEnd"/>
      <w:r>
        <w:rPr>
          <w:rFonts w:ascii="Liberation Serif" w:hAnsi="Liberation Serif" w:cs="Liberation Serif"/>
          <w:sz w:val="24"/>
          <w:szCs w:val="24"/>
          <w:lang w:val="sq-AL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sq-AL"/>
        </w:rPr>
        <w:t>Topco</w:t>
      </w:r>
      <w:proofErr w:type="spellEnd"/>
      <w:r>
        <w:rPr>
          <w:rFonts w:ascii="Liberation Serif" w:hAnsi="Liberation Serif" w:cs="Liberation Serif"/>
          <w:sz w:val="24"/>
          <w:szCs w:val="24"/>
          <w:lang w:val="sq-AL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sq-AL"/>
        </w:rPr>
        <w:t>GmbH</w:t>
      </w:r>
      <w:proofErr w:type="spellEnd"/>
      <w:r>
        <w:rPr>
          <w:rFonts w:ascii="Liberation Serif" w:hAnsi="Liberation Serif" w:cs="Liberation Serif"/>
          <w:sz w:val="24"/>
          <w:szCs w:val="24"/>
          <w:lang w:val="sq-AL"/>
        </w:rPr>
        <w:t xml:space="preserve">  dhe, së bashku me degët e saj, "</w:t>
      </w:r>
      <w:r>
        <w:rPr>
          <w:rFonts w:ascii="Liberation Serif" w:hAnsi="Liberation Serif" w:cs="Liberation Serif"/>
          <w:bCs/>
          <w:sz w:val="24"/>
          <w:szCs w:val="24"/>
          <w:lang w:val="sq-AL"/>
        </w:rPr>
        <w:t>Grupi STADA</w:t>
      </w:r>
      <w:r>
        <w:rPr>
          <w:rFonts w:ascii="Liberation Serif" w:hAnsi="Liberation Serif" w:cs="Liberation Serif"/>
          <w:sz w:val="24"/>
          <w:szCs w:val="24"/>
          <w:lang w:val="sq-AL"/>
        </w:rPr>
        <w:t xml:space="preserve">"), nga </w:t>
      </w:r>
      <w:proofErr w:type="spellStart"/>
      <w:r>
        <w:rPr>
          <w:rFonts w:ascii="Liberation Serif" w:hAnsi="Liberation Serif" w:cs="Liberation Serif"/>
          <w:sz w:val="24"/>
          <w:szCs w:val="24"/>
          <w:lang w:val="sq-AL"/>
        </w:rPr>
        <w:t>Nidda</w:t>
      </w:r>
      <w:proofErr w:type="spellEnd"/>
      <w:r>
        <w:rPr>
          <w:rFonts w:ascii="Liberation Serif" w:hAnsi="Liberation Serif" w:cs="Liberation Serif"/>
          <w:sz w:val="24"/>
          <w:szCs w:val="24"/>
          <w:lang w:val="sq-AL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sq-AL"/>
        </w:rPr>
        <w:t>MidCo</w:t>
      </w:r>
      <w:proofErr w:type="spellEnd"/>
      <w:r>
        <w:rPr>
          <w:rFonts w:ascii="Liberation Serif" w:hAnsi="Liberation Serif" w:cs="Liberation Serif"/>
          <w:sz w:val="24"/>
          <w:szCs w:val="24"/>
          <w:lang w:val="sq-AL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sq-AL"/>
        </w:rPr>
        <w:t>S.à</w:t>
      </w:r>
      <w:proofErr w:type="spellEnd"/>
      <w:r>
        <w:rPr>
          <w:rFonts w:ascii="Liberation Serif" w:hAnsi="Liberation Serif" w:cs="Liberation Serif"/>
          <w:sz w:val="24"/>
          <w:szCs w:val="24"/>
          <w:lang w:val="sq-AL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sq-AL"/>
        </w:rPr>
        <w:t>r.l</w:t>
      </w:r>
      <w:proofErr w:type="spellEnd"/>
      <w:r>
        <w:rPr>
          <w:rFonts w:ascii="Liberation Serif" w:hAnsi="Liberation Serif" w:cs="Liberation Serif"/>
          <w:sz w:val="24"/>
          <w:szCs w:val="24"/>
          <w:lang w:val="sq-AL"/>
        </w:rPr>
        <w:t xml:space="preserve"> ("</w:t>
      </w:r>
      <w:r>
        <w:rPr>
          <w:rFonts w:ascii="Liberation Serif" w:hAnsi="Liberation Serif" w:cs="Liberation Serif"/>
          <w:bCs/>
          <w:sz w:val="24"/>
          <w:szCs w:val="24"/>
          <w:lang w:val="sq-AL"/>
        </w:rPr>
        <w:t>Shitësi</w:t>
      </w:r>
      <w:r>
        <w:rPr>
          <w:rFonts w:ascii="Liberation Serif" w:hAnsi="Liberation Serif" w:cs="Liberation Serif"/>
          <w:sz w:val="24"/>
          <w:szCs w:val="24"/>
          <w:lang w:val="sq-AL"/>
        </w:rPr>
        <w:t>").</w:t>
      </w:r>
    </w:p>
    <w:p w:rsidR="005A5220" w:rsidRDefault="005A5220" w:rsidP="005A522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sq-AL"/>
        </w:rPr>
      </w:pPr>
    </w:p>
    <w:p w:rsidR="005A5220" w:rsidRDefault="005A5220" w:rsidP="001D0D54">
      <w:pPr>
        <w:spacing w:after="11" w:line="232" w:lineRule="auto"/>
        <w:jc w:val="both"/>
        <w:rPr>
          <w:rFonts w:ascii="Liberation Serif" w:eastAsia="MS Mincho" w:hAnsi="Liberation Serif" w:cs="Calibri"/>
          <w:b/>
          <w:bCs/>
          <w:color w:val="000000"/>
          <w:sz w:val="24"/>
          <w:szCs w:val="24"/>
          <w:lang w:val="sq-AL"/>
        </w:rPr>
      </w:pPr>
      <w:bookmarkStart w:id="0" w:name="_Hlk160526057"/>
      <w:r>
        <w:rPr>
          <w:rFonts w:ascii="Liberation Serif" w:eastAsia="Times New Roman" w:hAnsi="Liberation Serif" w:cs="Times New Roman"/>
          <w:sz w:val="24"/>
          <w:szCs w:val="24"/>
          <w:lang w:val="sq-AL"/>
        </w:rPr>
        <w:t xml:space="preserve">Njoftimi për Përqendrim është i bazuar në Marrëveshjen për Shitblerjen e Aksioneve, të lidhur me datë </w:t>
      </w:r>
      <w:r>
        <w:rPr>
          <w:rFonts w:ascii="Liberation Serif" w:eastAsia="Times New Roman" w:hAnsi="Liberation Serif" w:cs="Times New Roman"/>
          <w:sz w:val="24"/>
          <w:szCs w:val="24"/>
          <w:lang w:val="de-DE"/>
        </w:rPr>
        <w:t>më 1 shtator 2025</w:t>
      </w:r>
      <w:bookmarkEnd w:id="0"/>
      <w:r w:rsidR="001D0D54">
        <w:rPr>
          <w:rFonts w:ascii="Liberation Serif" w:eastAsia="Times New Roman" w:hAnsi="Liberation Serif" w:cs="Times New Roman"/>
          <w:sz w:val="24"/>
          <w:szCs w:val="24"/>
          <w:lang w:val="de-DE"/>
        </w:rPr>
        <w:t>.</w:t>
      </w:r>
      <w:bookmarkStart w:id="1" w:name="_GoBack"/>
      <w:bookmarkEnd w:id="1"/>
    </w:p>
    <w:p w:rsidR="005A5220" w:rsidRDefault="005A5220" w:rsidP="005A5220">
      <w:pPr>
        <w:spacing w:after="0" w:line="240" w:lineRule="auto"/>
        <w:contextualSpacing/>
        <w:jc w:val="both"/>
        <w:rPr>
          <w:rFonts w:ascii="Liberation Serif" w:eastAsia="MS Mincho" w:hAnsi="Liberation Serif" w:cs="Calibri"/>
          <w:b/>
          <w:bCs/>
          <w:color w:val="000000"/>
          <w:sz w:val="24"/>
          <w:szCs w:val="24"/>
          <w:lang w:val="sq-AL"/>
        </w:rPr>
      </w:pPr>
      <w:r>
        <w:rPr>
          <w:rFonts w:ascii="Liberation Serif" w:eastAsia="MS Mincho" w:hAnsi="Liberation Serif" w:cs="Calibri"/>
          <w:b/>
          <w:bCs/>
          <w:color w:val="000000"/>
          <w:sz w:val="24"/>
          <w:szCs w:val="24"/>
          <w:lang w:val="sq-AL"/>
        </w:rPr>
        <w:t>Palët në Përqendrim:</w:t>
      </w:r>
    </w:p>
    <w:p w:rsidR="005A5220" w:rsidRDefault="005A5220" w:rsidP="005A5220">
      <w:pPr>
        <w:spacing w:after="0" w:line="240" w:lineRule="auto"/>
        <w:contextualSpacing/>
        <w:jc w:val="both"/>
        <w:rPr>
          <w:rFonts w:ascii="Liberation Serif" w:eastAsia="MS Mincho" w:hAnsi="Liberation Serif" w:cs="Calibri"/>
          <w:b/>
          <w:bCs/>
          <w:color w:val="000000"/>
          <w:sz w:val="24"/>
          <w:szCs w:val="24"/>
          <w:lang w:val="sq-AL"/>
        </w:rPr>
      </w:pPr>
    </w:p>
    <w:p w:rsidR="005A5220" w:rsidRDefault="005A5220" w:rsidP="005A522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bCs/>
          <w:color w:val="222222"/>
          <w:sz w:val="24"/>
          <w:szCs w:val="24"/>
          <w:lang w:val="de-AT"/>
        </w:rPr>
      </w:pPr>
      <w:r>
        <w:rPr>
          <w:rFonts w:ascii="Liberation Serif" w:hAnsi="Liberation Serif" w:cs="Arial"/>
          <w:b/>
          <w:bCs/>
          <w:color w:val="222222"/>
          <w:sz w:val="24"/>
          <w:szCs w:val="24"/>
          <w:lang w:val="en-GB"/>
        </w:rPr>
        <w:t xml:space="preserve">Saxophone Germany </w:t>
      </w:r>
      <w:proofErr w:type="spellStart"/>
      <w:r>
        <w:rPr>
          <w:rFonts w:ascii="Liberation Serif" w:hAnsi="Liberation Serif" w:cs="Arial"/>
          <w:b/>
          <w:bCs/>
          <w:color w:val="222222"/>
          <w:sz w:val="24"/>
          <w:szCs w:val="24"/>
          <w:lang w:val="en-GB"/>
        </w:rPr>
        <w:t>BidCo</w:t>
      </w:r>
      <w:proofErr w:type="spellEnd"/>
      <w:r>
        <w:rPr>
          <w:rFonts w:ascii="Liberation Serif" w:hAnsi="Liberation Serif" w:cs="Arial"/>
          <w:b/>
          <w:bCs/>
          <w:color w:val="222222"/>
          <w:sz w:val="24"/>
          <w:szCs w:val="24"/>
          <w:lang w:val="en-GB"/>
        </w:rPr>
        <w:t xml:space="preserve"> GmbH,</w:t>
      </w:r>
      <w:r>
        <w:rPr>
          <w:rFonts w:ascii="Liberation Serif" w:eastAsia="Times New Roman" w:hAnsi="Liberation Serif" w:cs="Times New Roman"/>
          <w:sz w:val="24"/>
          <w:szCs w:val="24"/>
          <w:lang w:val="sq-AL"/>
        </w:rPr>
        <w:t xml:space="preserve"> </w:t>
      </w:r>
      <w:bookmarkStart w:id="2" w:name="_Hlk211415743"/>
      <w:r>
        <w:rPr>
          <w:rFonts w:ascii="Liberation Serif" w:eastAsia="Times New Roman" w:hAnsi="Liberation Serif" w:cs="Times New Roman"/>
          <w:sz w:val="24"/>
          <w:szCs w:val="24"/>
          <w:lang w:val="sq-AL"/>
        </w:rPr>
        <w:t>ndërmarrje me seli në me adresë:</w:t>
      </w:r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 xml:space="preserve"> c/o SCUR24 Holding GmbH</w:t>
      </w:r>
      <w:r>
        <w:rPr>
          <w:rFonts w:ascii="Liberation Serif" w:eastAsia="Times New Roman" w:hAnsi="Liberation Serif" w:cs="Times New Roman"/>
          <w:sz w:val="24"/>
          <w:szCs w:val="24"/>
          <w:lang w:val="sq-AL"/>
        </w:rPr>
        <w:t xml:space="preserve"> </w:t>
      </w:r>
      <w:bookmarkEnd w:id="2"/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>Schwanthalerstraße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 xml:space="preserve"> 73 80336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>Mynih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 xml:space="preserve">,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>Gjermani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 xml:space="preserve">, e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>regjistruar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 xml:space="preserve">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>në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 xml:space="preserve">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>regjistrin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 xml:space="preserve">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>tregtar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 xml:space="preserve">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>pranë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 xml:space="preserve">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>Gjykatës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 xml:space="preserve">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>lokale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 xml:space="preserve">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>të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 xml:space="preserve">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>Mynihut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 xml:space="preserve"> me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>numër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 xml:space="preserve">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>të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 xml:space="preserve">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>regjistrimit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 xml:space="preserve">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>të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 xml:space="preserve">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>biznesit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en-GB"/>
        </w:rPr>
        <w:t xml:space="preserve"> HRB 304164. </w:t>
      </w:r>
      <w:r>
        <w:rPr>
          <w:rFonts w:ascii="Liberation Serif" w:hAnsi="Liberation Serif" w:cs="Arial"/>
          <w:bCs/>
          <w:color w:val="222222"/>
          <w:sz w:val="24"/>
          <w:szCs w:val="24"/>
          <w:lang w:val="de-AT"/>
        </w:rPr>
        <w:t xml:space="preserve">Saxophone BidCo është blerësi i drejtpërdrejtë, një shoqëri e themeluar posaçërisht për qëllime të veçanta (special purpose vehicle) për qëllimin e vetëm të realizimit të Transaksionit të Propozuar. Ajo nuk ushtron veprimtari operacionale dhe nuk gjeneron asnjë qarkullim. Saxophone BidCo është në pronësi të drejtpërdrejtë të Saxophone Germany Holdco 2 GmbH dhe nën kontroll të tërthortë të Fondit V, i cili menaxhohet dhe/ose këshillohet nga CapVest. (blerësi i drejtpërdrejtë). </w:t>
      </w:r>
    </w:p>
    <w:p w:rsidR="005A5220" w:rsidRDefault="005A5220" w:rsidP="005A522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bCs/>
          <w:color w:val="222222"/>
          <w:sz w:val="24"/>
          <w:szCs w:val="24"/>
          <w:lang w:val="de-AT"/>
        </w:rPr>
      </w:pPr>
    </w:p>
    <w:p w:rsidR="005A5220" w:rsidRDefault="005A5220" w:rsidP="005A522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bCs/>
          <w:color w:val="222222"/>
          <w:sz w:val="24"/>
          <w:szCs w:val="24"/>
          <w:lang w:val="de-AT"/>
        </w:rPr>
      </w:pPr>
      <w:r>
        <w:rPr>
          <w:rFonts w:ascii="Liberation Serif" w:hAnsi="Liberation Serif" w:cs="Arial"/>
          <w:b/>
          <w:bCs/>
          <w:color w:val="222222"/>
          <w:sz w:val="24"/>
          <w:szCs w:val="24"/>
          <w:lang w:val="de-AT"/>
        </w:rPr>
        <w:t xml:space="preserve">CapVest </w:t>
      </w:r>
      <w:r>
        <w:rPr>
          <w:rFonts w:ascii="Liberation Serif" w:hAnsi="Liberation Serif" w:cs="Liberation Serif"/>
          <w:b/>
          <w:sz w:val="24"/>
          <w:szCs w:val="24"/>
          <w:lang w:val="en-GB"/>
        </w:rPr>
        <w:t>Partners L.L.P</w:t>
      </w:r>
      <w:r>
        <w:rPr>
          <w:rFonts w:ascii="Liberation Serif" w:hAnsi="Liberation Serif" w:cs="Arial"/>
          <w:bCs/>
          <w:color w:val="222222"/>
          <w:sz w:val="24"/>
          <w:szCs w:val="24"/>
          <w:lang w:val="de-AT"/>
        </w:rPr>
        <w:t>., është ndërmarrje e kapitalit privat në tregun e mesëm, e orientuar drejt industrive shumë fleksibile, ku kërkesa për produktin apo shërbimin është e domosdoshme dhe jo e varur nga preferenca e konsumatorit. Sektorët kryesorë të CapVest janë produktet bazë të konsumit, kujdesi shëndetësor dhe shërbimet thelbësore. CapVest mban investime kryesisht përmes dy fondeve të kapitalit privat në biznese në Evropë dhe Amerikën e Veriut.</w:t>
      </w:r>
      <w:r>
        <w:rPr>
          <w:rFonts w:ascii="Verdana" w:eastAsia="Times New Roman" w:hAnsi="Verdana" w:cs="Verdana"/>
          <w:noProof/>
          <w:color w:val="007BB8"/>
          <w:sz w:val="20"/>
          <w:szCs w:val="20"/>
          <w:lang w:val="sr-Latn-RS" w:eastAsia="it-IT"/>
        </w:rPr>
        <w:t xml:space="preserve"> </w:t>
      </w:r>
      <w:r>
        <w:rPr>
          <w:rFonts w:ascii="Liberation Serif" w:hAnsi="Liberation Serif" w:cs="Arial"/>
          <w:bCs/>
          <w:color w:val="222222"/>
          <w:sz w:val="24"/>
          <w:szCs w:val="24"/>
          <w:lang w:val="sr-Latn-RS"/>
        </w:rPr>
        <w:t>CapVest nuk ka filiale, degë apo zyra përfaqësuese në Kosovë, dhe as nuk gjeneron qarkullim në Kosovë (blerësi i tërthortë)</w:t>
      </w:r>
    </w:p>
    <w:p w:rsidR="005A5220" w:rsidRDefault="005A5220" w:rsidP="005A522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b/>
          <w:bCs/>
          <w:color w:val="222222"/>
          <w:sz w:val="24"/>
          <w:szCs w:val="24"/>
          <w:lang w:val="nl-NL"/>
        </w:rPr>
      </w:pPr>
    </w:p>
    <w:p w:rsidR="005A5220" w:rsidRDefault="005A5220" w:rsidP="005A522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bCs/>
          <w:color w:val="222222"/>
          <w:sz w:val="24"/>
          <w:szCs w:val="24"/>
          <w:lang w:val="sr-Latn-RS"/>
        </w:rPr>
      </w:pPr>
      <w:proofErr w:type="spellStart"/>
      <w:r>
        <w:rPr>
          <w:rFonts w:ascii="Liberation Serif" w:hAnsi="Liberation Serif" w:cs="Arial"/>
          <w:b/>
          <w:bCs/>
          <w:color w:val="222222"/>
          <w:sz w:val="24"/>
          <w:szCs w:val="24"/>
          <w:lang w:val="sq-AL"/>
        </w:rPr>
        <w:t>Nidda</w:t>
      </w:r>
      <w:proofErr w:type="spellEnd"/>
      <w:r>
        <w:rPr>
          <w:rFonts w:ascii="Liberation Serif" w:hAnsi="Liberation Serif" w:cs="Arial"/>
          <w:b/>
          <w:bCs/>
          <w:color w:val="222222"/>
          <w:sz w:val="24"/>
          <w:szCs w:val="24"/>
          <w:lang w:val="sq-AL"/>
        </w:rPr>
        <w:t xml:space="preserve"> </w:t>
      </w:r>
      <w:proofErr w:type="spellStart"/>
      <w:r>
        <w:rPr>
          <w:rFonts w:ascii="Liberation Serif" w:hAnsi="Liberation Serif" w:cs="Arial"/>
          <w:b/>
          <w:bCs/>
          <w:color w:val="222222"/>
          <w:sz w:val="24"/>
          <w:szCs w:val="24"/>
          <w:lang w:val="sq-AL"/>
        </w:rPr>
        <w:t>German</w:t>
      </w:r>
      <w:proofErr w:type="spellEnd"/>
      <w:r>
        <w:rPr>
          <w:rFonts w:ascii="Liberation Serif" w:hAnsi="Liberation Serif" w:cs="Arial"/>
          <w:b/>
          <w:bCs/>
          <w:color w:val="222222"/>
          <w:sz w:val="24"/>
          <w:szCs w:val="24"/>
          <w:lang w:val="sq-AL"/>
        </w:rPr>
        <w:t xml:space="preserve"> </w:t>
      </w:r>
      <w:proofErr w:type="spellStart"/>
      <w:r>
        <w:rPr>
          <w:rFonts w:ascii="Liberation Serif" w:hAnsi="Liberation Serif" w:cs="Arial"/>
          <w:b/>
          <w:bCs/>
          <w:color w:val="222222"/>
          <w:sz w:val="24"/>
          <w:szCs w:val="24"/>
          <w:lang w:val="sq-AL"/>
        </w:rPr>
        <w:t>Topco</w:t>
      </w:r>
      <w:proofErr w:type="spellEnd"/>
      <w:r>
        <w:rPr>
          <w:rFonts w:ascii="Liberation Serif" w:hAnsi="Liberation Serif" w:cs="Arial"/>
          <w:b/>
          <w:bCs/>
          <w:color w:val="222222"/>
          <w:sz w:val="24"/>
          <w:szCs w:val="24"/>
          <w:lang w:val="sq-AL"/>
        </w:rPr>
        <w:t xml:space="preserve"> </w:t>
      </w:r>
      <w:proofErr w:type="spellStart"/>
      <w:r>
        <w:rPr>
          <w:rFonts w:ascii="Liberation Serif" w:hAnsi="Liberation Serif" w:cs="Arial"/>
          <w:b/>
          <w:bCs/>
          <w:color w:val="222222"/>
          <w:sz w:val="24"/>
          <w:szCs w:val="24"/>
          <w:lang w:val="sq-AL"/>
        </w:rPr>
        <w:t>GmbH</w:t>
      </w:r>
      <w:proofErr w:type="spellEnd"/>
      <w:r>
        <w:rPr>
          <w:rFonts w:ascii="Liberation Serif" w:hAnsi="Liberation Serif" w:cs="Arial"/>
          <w:b/>
          <w:bCs/>
          <w:color w:val="222222"/>
          <w:sz w:val="24"/>
          <w:szCs w:val="24"/>
          <w:lang w:val="sq-AL"/>
        </w:rPr>
        <w:t xml:space="preserve">, </w:t>
      </w:r>
      <w:r>
        <w:rPr>
          <w:rFonts w:ascii="Liberation Serif" w:eastAsia="Times New Roman" w:hAnsi="Liberation Serif" w:cs="Times New Roman"/>
          <w:sz w:val="24"/>
          <w:szCs w:val="24"/>
          <w:lang w:val="sq-AL"/>
        </w:rPr>
        <w:t xml:space="preserve">ndërmarrje me seli në me adresë: </w:t>
      </w:r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 xml:space="preserve">c/o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>Intertrust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 xml:space="preserve"> (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>Deutschland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 xml:space="preserve">)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>GmbH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 xml:space="preserve">,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>Grüneburgweg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 xml:space="preserve"> 58-62</w:t>
      </w:r>
      <w:r>
        <w:rPr>
          <w:rFonts w:ascii="Liberation Serif" w:hAnsi="Liberation Serif" w:cs="Arial"/>
          <w:b/>
          <w:bCs/>
          <w:color w:val="222222"/>
          <w:sz w:val="24"/>
          <w:szCs w:val="24"/>
          <w:lang w:val="sq-AL"/>
        </w:rPr>
        <w:t xml:space="preserve"> </w:t>
      </w:r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 xml:space="preserve">60322 Frankfurt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>am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 xml:space="preserve">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>Main</w:t>
      </w:r>
      <w:proofErr w:type="spellEnd"/>
      <w:r>
        <w:rPr>
          <w:rFonts w:ascii="Liberation Serif" w:hAnsi="Liberation Serif" w:cs="Arial"/>
          <w:b/>
          <w:bCs/>
          <w:color w:val="222222"/>
          <w:sz w:val="24"/>
          <w:szCs w:val="24"/>
          <w:lang w:val="sq-AL"/>
        </w:rPr>
        <w:t xml:space="preserve">, </w:t>
      </w:r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 xml:space="preserve">Gjermani, me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>nr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 xml:space="preserve"> të regjistrimit të biznesit HRB 110007.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>Nidda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 xml:space="preserve">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>Topco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 xml:space="preserve"> është shoqëri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>holding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 xml:space="preserve"> e Grupit STADA dhe mban në mënyrë të tërthortë 100% të kapitalit aksionar të emetuar të STADA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>Arzneimittel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 xml:space="preserve"> AG </w:t>
      </w:r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lastRenderedPageBreak/>
        <w:t>(“</w:t>
      </w:r>
      <w:r>
        <w:rPr>
          <w:rFonts w:ascii="Liberation Serif" w:hAnsi="Liberation Serif" w:cs="Arial"/>
          <w:b/>
          <w:bCs/>
          <w:color w:val="222222"/>
          <w:sz w:val="24"/>
          <w:szCs w:val="24"/>
          <w:lang w:val="sq-AL"/>
        </w:rPr>
        <w:t>STADA</w:t>
      </w:r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 xml:space="preserve">”). STADA është shoqëria kryesore operuese e Grupit STADA, si dhe shoqëria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>direkte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 xml:space="preserve"> </w:t>
      </w:r>
      <w:proofErr w:type="spellStart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>holding</w:t>
      </w:r>
      <w:proofErr w:type="spellEnd"/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 xml:space="preserve"> e shoqërive të tjera operuese të Grupit STADA, të cilave u ofron shërbime menaxhimi dhe funksione të tjera mbështetëse. </w:t>
      </w:r>
      <w:r>
        <w:rPr>
          <w:rFonts w:ascii="Liberation Serif" w:hAnsi="Liberation Serif" w:cs="Arial"/>
          <w:bCs/>
          <w:color w:val="222222"/>
          <w:sz w:val="24"/>
          <w:szCs w:val="24"/>
          <w:lang w:val="sr-Latn-RS"/>
        </w:rPr>
        <w:t>Grupi STADA nuk ka filiale, degë apo zyra përfaqësuese në Kosovë. Ai gjeneron qarkullim nga shitjet në Kosovë përmes një distributori ekskluziv (targeti).</w:t>
      </w:r>
    </w:p>
    <w:p w:rsidR="005A5220" w:rsidRDefault="005A5220" w:rsidP="005A522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bCs/>
          <w:color w:val="222222"/>
          <w:sz w:val="24"/>
          <w:szCs w:val="24"/>
          <w:lang w:val="sr-Latn-RS"/>
        </w:rPr>
      </w:pPr>
    </w:p>
    <w:p w:rsidR="005A5220" w:rsidRPr="006814C2" w:rsidRDefault="005A5220" w:rsidP="005A5220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val="sq-AL"/>
        </w:rPr>
      </w:pPr>
      <w:proofErr w:type="spellStart"/>
      <w:r>
        <w:rPr>
          <w:rFonts w:ascii="Liberation Serif" w:hAnsi="Liberation Serif" w:cs="Liberation Serif"/>
          <w:b/>
          <w:sz w:val="24"/>
          <w:szCs w:val="24"/>
          <w:lang w:val="en-GB"/>
        </w:rPr>
        <w:t>Nidda</w:t>
      </w:r>
      <w:proofErr w:type="spellEnd"/>
      <w:r>
        <w:rPr>
          <w:rFonts w:ascii="Liberation Serif" w:hAnsi="Liberation Serif" w:cs="Liberation Serif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Liberation Serif" w:hAnsi="Liberation Serif" w:cs="Liberation Serif"/>
          <w:b/>
          <w:sz w:val="24"/>
          <w:szCs w:val="24"/>
          <w:lang w:val="en-GB"/>
        </w:rPr>
        <w:t>MidCo</w:t>
      </w:r>
      <w:proofErr w:type="spellEnd"/>
      <w:r>
        <w:rPr>
          <w:rFonts w:ascii="Liberation Serif" w:hAnsi="Liberation Serif" w:cs="Liberation Serif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Liberation Serif" w:hAnsi="Liberation Serif" w:cs="Liberation Serif"/>
          <w:b/>
          <w:sz w:val="24"/>
          <w:szCs w:val="24"/>
          <w:lang w:val="en-GB"/>
        </w:rPr>
        <w:t>S.à</w:t>
      </w:r>
      <w:proofErr w:type="spellEnd"/>
      <w:r>
        <w:rPr>
          <w:rFonts w:ascii="Liberation Serif" w:hAnsi="Liberation Serif" w:cs="Liberation Serif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Liberation Serif" w:hAnsi="Liberation Serif" w:cs="Liberation Serif"/>
          <w:b/>
          <w:sz w:val="24"/>
          <w:szCs w:val="24"/>
          <w:lang w:val="en-GB"/>
        </w:rPr>
        <w:t>r.l</w:t>
      </w:r>
      <w:proofErr w:type="spellEnd"/>
      <w:r>
        <w:rPr>
          <w:rFonts w:ascii="Liberation Serif" w:hAnsi="Liberation Serif" w:cs="Liberation Serif"/>
          <w:b/>
          <w:sz w:val="24"/>
          <w:szCs w:val="24"/>
          <w:lang w:val="en-GB"/>
        </w:rPr>
        <w:t xml:space="preserve">., </w:t>
      </w:r>
      <w:r>
        <w:rPr>
          <w:rFonts w:ascii="Liberation Serif" w:hAnsi="Liberation Serif" w:cs="Arial"/>
          <w:bCs/>
          <w:color w:val="222222"/>
          <w:sz w:val="24"/>
          <w:szCs w:val="24"/>
          <w:lang w:val="de-AT"/>
        </w:rPr>
        <w:t xml:space="preserve">ndërmarrje e inkorporuar sipas ligjeve të Dukatës së Madhe të Luksemburgut, me numër të regjistrimit të biznesit </w:t>
      </w:r>
      <w:r>
        <w:rPr>
          <w:rFonts w:ascii="Liberation Serif" w:hAnsi="Liberation Serif" w:cs="Arial"/>
          <w:bCs/>
          <w:color w:val="222222"/>
          <w:sz w:val="24"/>
          <w:szCs w:val="24"/>
          <w:lang w:val="sq-AL"/>
        </w:rPr>
        <w:t>B213313.</w:t>
      </w:r>
      <w:r>
        <w:rPr>
          <w:rFonts w:ascii="Liberation Serif" w:hAnsi="Liberation Serif" w:cs="Liberation Serif"/>
          <w:b/>
          <w:sz w:val="24"/>
          <w:szCs w:val="24"/>
          <w:lang w:val="sq-AL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val="sq-AL"/>
        </w:rPr>
        <w:t xml:space="preserve">Shitësi aktualisht është në pronësi dhe kontroll të përbashkët nga fondet e menaxhuara dhe/ose të këshilluara nga </w:t>
      </w:r>
      <w:proofErr w:type="spellStart"/>
      <w:r>
        <w:rPr>
          <w:rFonts w:ascii="Liberation Serif" w:hAnsi="Liberation Serif" w:cs="Liberation Serif"/>
          <w:sz w:val="24"/>
          <w:szCs w:val="24"/>
          <w:lang w:val="sq-AL"/>
        </w:rPr>
        <w:t>Bain</w:t>
      </w:r>
      <w:proofErr w:type="spellEnd"/>
      <w:r>
        <w:rPr>
          <w:rFonts w:ascii="Liberation Serif" w:hAnsi="Liberation Serif" w:cs="Liberation Serif"/>
          <w:sz w:val="24"/>
          <w:szCs w:val="24"/>
          <w:lang w:val="sq-AL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sq-AL"/>
        </w:rPr>
        <w:t>Capital</w:t>
      </w:r>
      <w:proofErr w:type="spellEnd"/>
      <w:r>
        <w:rPr>
          <w:rFonts w:ascii="Liberation Serif" w:hAnsi="Liberation Serif" w:cs="Liberation Serif"/>
          <w:sz w:val="24"/>
          <w:szCs w:val="24"/>
          <w:lang w:val="sq-AL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sq-AL"/>
        </w:rPr>
        <w:t>Investors</w:t>
      </w:r>
      <w:proofErr w:type="spellEnd"/>
      <w:r>
        <w:rPr>
          <w:rFonts w:ascii="Liberation Serif" w:hAnsi="Liberation Serif" w:cs="Liberation Serif"/>
          <w:sz w:val="24"/>
          <w:szCs w:val="24"/>
          <w:lang w:val="sq-AL"/>
        </w:rPr>
        <w:t>, LLC ("</w:t>
      </w:r>
      <w:proofErr w:type="spellStart"/>
      <w:r>
        <w:rPr>
          <w:rFonts w:ascii="Liberation Serif" w:hAnsi="Liberation Serif" w:cs="Liberation Serif"/>
          <w:bCs/>
          <w:sz w:val="24"/>
          <w:szCs w:val="24"/>
          <w:lang w:val="sq-AL"/>
        </w:rPr>
        <w:t>Bain</w:t>
      </w:r>
      <w:proofErr w:type="spellEnd"/>
      <w:r>
        <w:rPr>
          <w:rFonts w:ascii="Liberation Serif" w:hAnsi="Liberation Serif" w:cs="Liberation Serif"/>
          <w:bCs/>
          <w:sz w:val="24"/>
          <w:szCs w:val="24"/>
          <w:lang w:val="sq-AL"/>
        </w:rPr>
        <w:t xml:space="preserve"> </w:t>
      </w:r>
      <w:proofErr w:type="spellStart"/>
      <w:r>
        <w:rPr>
          <w:rFonts w:ascii="Liberation Serif" w:hAnsi="Liberation Serif" w:cs="Liberation Serif"/>
          <w:bCs/>
          <w:sz w:val="24"/>
          <w:szCs w:val="24"/>
          <w:lang w:val="sq-AL"/>
        </w:rPr>
        <w:t>Capital</w:t>
      </w:r>
      <w:proofErr w:type="spellEnd"/>
      <w:r>
        <w:rPr>
          <w:rFonts w:ascii="Liberation Serif" w:hAnsi="Liberation Serif" w:cs="Liberation Serif"/>
          <w:sz w:val="24"/>
          <w:szCs w:val="24"/>
          <w:lang w:val="sq-AL"/>
        </w:rPr>
        <w:t xml:space="preserve">") dhe Fondi i Gjashtë </w:t>
      </w:r>
      <w:proofErr w:type="spellStart"/>
      <w:r>
        <w:rPr>
          <w:rFonts w:ascii="Liberation Serif" w:hAnsi="Liberation Serif" w:cs="Liberation Serif"/>
          <w:sz w:val="24"/>
          <w:szCs w:val="24"/>
          <w:lang w:val="sq-AL"/>
        </w:rPr>
        <w:t>Cinven</w:t>
      </w:r>
      <w:proofErr w:type="spellEnd"/>
      <w:r>
        <w:rPr>
          <w:rFonts w:ascii="Liberation Serif" w:hAnsi="Liberation Serif" w:cs="Liberation Serif"/>
          <w:sz w:val="24"/>
          <w:szCs w:val="24"/>
          <w:lang w:val="sq-AL"/>
        </w:rPr>
        <w:t xml:space="preserve"> ("</w:t>
      </w:r>
      <w:proofErr w:type="spellStart"/>
      <w:r>
        <w:rPr>
          <w:rFonts w:ascii="Liberation Serif" w:hAnsi="Liberation Serif" w:cs="Liberation Serif"/>
          <w:bCs/>
          <w:sz w:val="24"/>
          <w:szCs w:val="24"/>
          <w:lang w:val="sq-AL"/>
        </w:rPr>
        <w:t>Cinven</w:t>
      </w:r>
      <w:proofErr w:type="spellEnd"/>
      <w:r>
        <w:rPr>
          <w:rFonts w:ascii="Liberation Serif" w:hAnsi="Liberation Serif" w:cs="Liberation Serif"/>
          <w:bCs/>
          <w:sz w:val="24"/>
          <w:szCs w:val="24"/>
          <w:lang w:val="sq-AL"/>
        </w:rPr>
        <w:t xml:space="preserve"> VI</w:t>
      </w:r>
      <w:r>
        <w:rPr>
          <w:rFonts w:ascii="Liberation Serif" w:hAnsi="Liberation Serif" w:cs="Liberation Serif"/>
          <w:sz w:val="24"/>
          <w:szCs w:val="24"/>
          <w:lang w:val="sq-AL"/>
        </w:rPr>
        <w:t>") (së bashku "</w:t>
      </w:r>
      <w:r>
        <w:rPr>
          <w:rFonts w:ascii="Liberation Serif" w:hAnsi="Liberation Serif" w:cs="Liberation Serif"/>
          <w:bCs/>
          <w:sz w:val="24"/>
          <w:szCs w:val="24"/>
          <w:lang w:val="sq-AL"/>
        </w:rPr>
        <w:t>Investitorët Shitës</w:t>
      </w:r>
      <w:r>
        <w:rPr>
          <w:rFonts w:ascii="Liberation Serif" w:hAnsi="Liberation Serif" w:cs="Liberation Serif"/>
          <w:sz w:val="24"/>
          <w:szCs w:val="24"/>
          <w:lang w:val="sq-AL"/>
        </w:rPr>
        <w:t>"). Pas përfundimit të Transaksionit, Grupi STADA do të jetë nën</w:t>
      </w:r>
      <w:r>
        <w:rPr>
          <w:rFonts w:ascii="Liberation Serif" w:hAnsi="Liberation Serif" w:cs="Liberation Serif"/>
          <w:sz w:val="24"/>
          <w:szCs w:val="24"/>
          <w:lang w:val="en-GB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GB"/>
        </w:rPr>
        <w:t>kontrollin</w:t>
      </w:r>
      <w:proofErr w:type="spellEnd"/>
      <w:r>
        <w:rPr>
          <w:rFonts w:ascii="Liberation Serif" w:hAnsi="Liberation Serif" w:cs="Liberation Serif"/>
          <w:sz w:val="24"/>
          <w:szCs w:val="24"/>
          <w:lang w:val="en-GB"/>
        </w:rPr>
        <w:t xml:space="preserve"> e </w:t>
      </w:r>
      <w:proofErr w:type="spellStart"/>
      <w:r>
        <w:rPr>
          <w:rFonts w:ascii="Liberation Serif" w:hAnsi="Liberation Serif" w:cs="Liberation Serif"/>
          <w:sz w:val="24"/>
          <w:szCs w:val="24"/>
          <w:lang w:val="en-GB"/>
        </w:rPr>
        <w:t>vetëm</w:t>
      </w:r>
      <w:proofErr w:type="spellEnd"/>
      <w:r>
        <w:rPr>
          <w:rFonts w:ascii="Liberation Serif" w:hAnsi="Liberation Serif" w:cs="Liberation Serif"/>
          <w:sz w:val="24"/>
          <w:szCs w:val="24"/>
          <w:lang w:val="en-GB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GB"/>
        </w:rPr>
        <w:t>të</w:t>
      </w:r>
      <w:proofErr w:type="spellEnd"/>
      <w:r>
        <w:rPr>
          <w:rFonts w:ascii="Liberation Serif" w:hAnsi="Liberation Serif" w:cs="Liberation Serif"/>
          <w:sz w:val="24"/>
          <w:szCs w:val="24"/>
          <w:lang w:val="en-GB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GB"/>
        </w:rPr>
        <w:t>CapVest</w:t>
      </w:r>
      <w:proofErr w:type="spellEnd"/>
      <w:r>
        <w:rPr>
          <w:rFonts w:ascii="Liberation Serif" w:hAnsi="Liberation Serif" w:cs="Liberation Serif"/>
          <w:sz w:val="24"/>
          <w:szCs w:val="24"/>
          <w:lang w:val="en-GB"/>
        </w:rPr>
        <w:t>.</w:t>
      </w:r>
    </w:p>
    <w:p w:rsidR="006814C2" w:rsidRDefault="006814C2" w:rsidP="006814C2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</w:pPr>
    </w:p>
    <w:p w:rsidR="006814C2" w:rsidRDefault="006814C2" w:rsidP="006814C2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</w:pPr>
      <w:r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Vërejtjet, qëndrimet dhe mendimet, mund të dërgohen pranë Autoritetit të Konkurrencës së Republikës së Kosovës, me Adresë Rr. Migjeni kati VI [ish objekti i bankës së Lubjanës] Nr. tel :+381 /0/ 38 200 10982, apo në </w:t>
      </w:r>
      <w:proofErr w:type="spellStart"/>
      <w:r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email</w:t>
      </w:r>
      <w:proofErr w:type="spellEnd"/>
      <w:r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 adresën: </w:t>
      </w:r>
      <w:hyperlink r:id="rId7" w:history="1">
        <w:r>
          <w:rPr>
            <w:rStyle w:val="Hyperlink"/>
            <w:rFonts w:ascii="Liberation Serif" w:eastAsia="PMingLiU" w:hAnsi="Liberation Serif" w:cs="Liberation Serif"/>
            <w:sz w:val="24"/>
            <w:szCs w:val="24"/>
            <w:lang w:val="sq-AL" w:eastAsia="en-GB"/>
          </w:rPr>
          <w:t>info.konkurrenca@rks-gov.net</w:t>
        </w:r>
      </w:hyperlink>
      <w:r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, në afatin prej 15 ditëve nga dita e publikimit në </w:t>
      </w:r>
      <w:proofErr w:type="spellStart"/>
      <w:r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webfaqe</w:t>
      </w:r>
      <w:proofErr w:type="spellEnd"/>
      <w:r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 të AKRK-së.</w:t>
      </w:r>
    </w:p>
    <w:p w:rsidR="00093F5A" w:rsidRDefault="00093F5A"/>
    <w:sectPr w:rsidR="00093F5A" w:rsidSect="00225DFC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B88" w:rsidRDefault="00D36B88" w:rsidP="003E1753">
      <w:pPr>
        <w:spacing w:after="0" w:line="240" w:lineRule="auto"/>
      </w:pPr>
      <w:r>
        <w:separator/>
      </w:r>
    </w:p>
  </w:endnote>
  <w:endnote w:type="continuationSeparator" w:id="0">
    <w:p w:rsidR="00D36B88" w:rsidRDefault="00D36B88" w:rsidP="003E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753" w:rsidRDefault="003E1753" w:rsidP="003E1753">
    <w:pPr>
      <w:tabs>
        <w:tab w:val="center" w:pos="4513"/>
        <w:tab w:val="right" w:pos="9026"/>
      </w:tabs>
      <w:spacing w:after="0" w:line="240" w:lineRule="auto"/>
      <w:jc w:val="center"/>
      <w:rPr>
        <w:lang w:val="sq-AL"/>
      </w:rPr>
    </w:pPr>
    <w:r>
      <w:rPr>
        <w:rFonts w:ascii="Times New Roman" w:eastAsia="Times New Roman" w:hAnsi="Times New Roman" w:cs="Times New Roman"/>
        <w:sz w:val="16"/>
        <w:szCs w:val="16"/>
        <w:lang w:val="sq-AL" w:eastAsia="sr-Latn-CS"/>
      </w:rPr>
      <w:t xml:space="preserve">Autoriteti i Konkurrencës </w:t>
    </w:r>
  </w:p>
  <w:p w:rsidR="003E1753" w:rsidRDefault="003E1753" w:rsidP="003E1753">
    <w:pPr>
      <w:tabs>
        <w:tab w:val="center" w:pos="4680"/>
        <w:tab w:val="right" w:pos="9360"/>
      </w:tabs>
      <w:spacing w:after="0" w:line="240" w:lineRule="auto"/>
      <w:ind w:left="720"/>
      <w:jc w:val="center"/>
      <w:rPr>
        <w:rFonts w:ascii="Times New Roman" w:eastAsia="Times New Roman" w:hAnsi="Times New Roman" w:cs="Times New Roman"/>
        <w:sz w:val="14"/>
        <w:szCs w:val="14"/>
        <w:lang w:val="sq-AL" w:eastAsia="sr-Latn-CS"/>
      </w:rPr>
    </w:pPr>
    <w:r>
      <w:rPr>
        <w:rFonts w:ascii="Times New Roman" w:eastAsia="Times New Roman" w:hAnsi="Times New Roman" w:cs="Times New Roman"/>
        <w:sz w:val="14"/>
        <w:szCs w:val="14"/>
        <w:lang w:val="sq-AL" w:eastAsia="sr-Latn-CS"/>
      </w:rPr>
      <w:t xml:space="preserve">            Adresa: Rr. Migjeni nr. 21,10000 Prishtinë.</w:t>
    </w:r>
    <w:r>
      <w:rPr>
        <w:rFonts w:ascii="Arial" w:eastAsia="Times New Roman" w:hAnsi="Arial" w:cs="Arial"/>
        <w:b/>
        <w:bCs/>
        <w:sz w:val="14"/>
        <w:szCs w:val="14"/>
        <w:lang w:val="sq-AL" w:eastAsia="sr-Latn-CS"/>
      </w:rPr>
      <w:t xml:space="preserve"> </w:t>
    </w:r>
    <w:r>
      <w:rPr>
        <w:rFonts w:ascii="Times New Roman" w:eastAsia="Times New Roman" w:hAnsi="Times New Roman" w:cs="Times New Roman"/>
        <w:sz w:val="14"/>
        <w:szCs w:val="14"/>
        <w:lang w:val="sq-AL" w:eastAsia="sr-Latn-CS"/>
      </w:rPr>
      <w:t xml:space="preserve"> Kati i VI, zyra Nr.1</w:t>
    </w:r>
  </w:p>
  <w:p w:rsidR="003E1753" w:rsidRDefault="003E1753" w:rsidP="003E1753">
    <w:pPr>
      <w:tabs>
        <w:tab w:val="left" w:pos="3698"/>
      </w:tabs>
      <w:spacing w:after="0" w:line="240" w:lineRule="auto"/>
      <w:rPr>
        <w:lang w:val="sq-AL"/>
      </w:rPr>
    </w:pPr>
    <w:r>
      <w:rPr>
        <w:rFonts w:ascii="Times New Roman" w:eastAsia="Times New Roman" w:hAnsi="Times New Roman" w:cs="Times New Roman"/>
        <w:sz w:val="14"/>
        <w:szCs w:val="14"/>
        <w:lang w:val="sq-AL" w:eastAsia="sr-Latn-CS"/>
      </w:rPr>
      <w:t xml:space="preserve">                                                                                        Tel: +383 /0/ 38 200 109 82  E-</w:t>
    </w:r>
    <w:proofErr w:type="spellStart"/>
    <w:r>
      <w:rPr>
        <w:rFonts w:ascii="Times New Roman" w:eastAsia="Times New Roman" w:hAnsi="Times New Roman" w:cs="Times New Roman"/>
        <w:sz w:val="14"/>
        <w:szCs w:val="14"/>
        <w:lang w:val="sq-AL" w:eastAsia="sr-Latn-CS"/>
      </w:rPr>
      <w:t>mail</w:t>
    </w:r>
    <w:proofErr w:type="spellEnd"/>
    <w:r>
      <w:rPr>
        <w:rFonts w:ascii="Times New Roman" w:eastAsia="Times New Roman" w:hAnsi="Times New Roman" w:cs="Times New Roman"/>
        <w:sz w:val="14"/>
        <w:szCs w:val="14"/>
        <w:lang w:val="sq-AL" w:eastAsia="sr-Latn-CS"/>
      </w:rPr>
      <w:t xml:space="preserve">: </w:t>
    </w:r>
    <w:r>
      <w:rPr>
        <w:rFonts w:ascii="Times New Roman" w:eastAsia="Times New Roman" w:hAnsi="Times New Roman" w:cs="Times New Roman"/>
        <w:color w:val="0070C0"/>
        <w:sz w:val="14"/>
        <w:szCs w:val="14"/>
        <w:lang w:val="sq-AL" w:eastAsia="sr-Latn-CS"/>
      </w:rPr>
      <w:t>info.konkurrenca@rks-gov.net</w:t>
    </w:r>
  </w:p>
  <w:p w:rsidR="003E1753" w:rsidRPr="003E1753" w:rsidRDefault="003E1753" w:rsidP="003E1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B88" w:rsidRDefault="00D36B88" w:rsidP="003E1753">
      <w:pPr>
        <w:spacing w:after="0" w:line="240" w:lineRule="auto"/>
      </w:pPr>
      <w:r>
        <w:separator/>
      </w:r>
    </w:p>
  </w:footnote>
  <w:footnote w:type="continuationSeparator" w:id="0">
    <w:p w:rsidR="00D36B88" w:rsidRDefault="00D36B88" w:rsidP="003E1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A1"/>
    <w:rsid w:val="00093F5A"/>
    <w:rsid w:val="001D0D54"/>
    <w:rsid w:val="00225DFC"/>
    <w:rsid w:val="003E1753"/>
    <w:rsid w:val="005A5220"/>
    <w:rsid w:val="006814C2"/>
    <w:rsid w:val="00923220"/>
    <w:rsid w:val="00A05BA1"/>
    <w:rsid w:val="00D3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E431F"/>
  <w15:chartTrackingRefBased/>
  <w15:docId w15:val="{5EF43E9C-7E67-4E0E-9C06-01C933B0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14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753"/>
  </w:style>
  <w:style w:type="paragraph" w:styleId="Footer">
    <w:name w:val="footer"/>
    <w:basedOn w:val="Normal"/>
    <w:link w:val="FooterChar"/>
    <w:uiPriority w:val="99"/>
    <w:unhideWhenUsed/>
    <w:rsid w:val="003E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.konkurrenca@rks-gov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Shyhrete P. Bytyqi</dc:creator>
  <cp:keywords/>
  <dc:description/>
  <cp:lastModifiedBy>Shyhrete P. Bytyqi</cp:lastModifiedBy>
  <cp:revision>12</cp:revision>
  <dcterms:created xsi:type="dcterms:W3CDTF">2025-10-17T08:32:00Z</dcterms:created>
  <dcterms:modified xsi:type="dcterms:W3CDTF">2025-10-17T08:39:00Z</dcterms:modified>
</cp:coreProperties>
</file>